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4E02C4C" w:rsidR="00A160B2" w:rsidRDefault="00042540" w:rsidP="00A160B2">
      <w:pPr>
        <w:spacing w:after="480"/>
      </w:pPr>
      <w:r>
        <w:rPr>
          <w:noProof/>
        </w:rPr>
        <w:drawing>
          <wp:inline distT="0" distB="0" distL="0" distR="0" wp14:anchorId="27101B68" wp14:editId="2FF821C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55A88F66" w14:textId="1FB1B53C" w:rsidR="00A160B2" w:rsidRPr="00A160B2" w:rsidRDefault="00111CDC" w:rsidP="006C3150">
            <w:pPr>
              <w:pStyle w:val="Heading1"/>
              <w:rPr>
                <w:color w:val="0000FF"/>
                <w:szCs w:val="24"/>
              </w:rPr>
            </w:pPr>
            <w:r>
              <w:t>Council</w:t>
            </w:r>
            <w:r w:rsidR="00A160B2"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7B6A4B7F" w:rsidR="00A160B2" w:rsidRDefault="007427D8" w:rsidP="006C3150">
            <w:pPr>
              <w:pStyle w:val="Infotext"/>
              <w:rPr>
                <w:rFonts w:cs="Arial"/>
              </w:rPr>
            </w:pPr>
            <w:r>
              <w:rPr>
                <w:rFonts w:cs="Arial"/>
              </w:rPr>
              <w:t>22 February 2024</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7A4B943F" w:rsidR="00A160B2" w:rsidRDefault="00111CDC" w:rsidP="006C3150">
            <w:pPr>
              <w:pStyle w:val="Infotext"/>
              <w:rPr>
                <w:rFonts w:cs="Arial"/>
              </w:rPr>
            </w:pPr>
            <w:r>
              <w:rPr>
                <w:rFonts w:cs="Arial"/>
              </w:rPr>
              <w:t xml:space="preserve">Information Report – Use of Urgency Procedure - </w:t>
            </w:r>
            <w:r w:rsidR="007427D8">
              <w:rPr>
                <w:rFonts w:cs="Arial"/>
              </w:rPr>
              <w:t>Executive</w:t>
            </w:r>
          </w:p>
        </w:tc>
      </w:tr>
      <w:tr w:rsidR="00A160B2" w:rsidRPr="00111CDC"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413A455E" w:rsidR="00A160B2" w:rsidRPr="00111CDC" w:rsidRDefault="00111CDC" w:rsidP="006C3150">
            <w:pPr>
              <w:pStyle w:val="Infotext"/>
              <w:rPr>
                <w:rFonts w:cs="Arial"/>
              </w:rPr>
            </w:pPr>
            <w:r w:rsidRPr="00111CDC">
              <w:rPr>
                <w:rFonts w:cs="Arial"/>
              </w:rPr>
              <w:t>Jessica Farmer – Interim Director of Legal</w:t>
            </w:r>
            <w:r>
              <w:rPr>
                <w:rFonts w:cs="Arial"/>
              </w:rPr>
              <w:t xml:space="preserve"> </w:t>
            </w:r>
            <w:r w:rsidRPr="00111CDC">
              <w:rPr>
                <w:rFonts w:cs="Arial"/>
              </w:rPr>
              <w:t>and Go</w:t>
            </w:r>
            <w:r>
              <w:rPr>
                <w:rFonts w:cs="Arial"/>
              </w:rPr>
              <w:t>vernance Services</w:t>
            </w:r>
          </w:p>
          <w:p w14:paraId="3CF266C9" w14:textId="77777777" w:rsidR="00A160B2" w:rsidRPr="00111CDC"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7383F3A6" w:rsidR="00A160B2" w:rsidRDefault="00A160B2" w:rsidP="006C3150">
            <w:pPr>
              <w:pStyle w:val="Infotext"/>
              <w:rPr>
                <w:rFonts w:cs="Arial"/>
              </w:rPr>
            </w:pPr>
            <w:r>
              <w:rPr>
                <w:rFonts w:cs="Arial"/>
              </w:rPr>
              <w:t>No</w:t>
            </w:r>
          </w:p>
          <w:p w14:paraId="4C873B59" w14:textId="77777777" w:rsidR="00A160B2" w:rsidRDefault="00A160B2" w:rsidP="00111CDC">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129F73A8" w:rsidR="00A160B2" w:rsidRDefault="00111CDC" w:rsidP="006C3150">
            <w:pPr>
              <w:pStyle w:val="Infotext"/>
            </w:pPr>
            <w:r>
              <w:rPr>
                <w:rFonts w:cs="Arial"/>
                <w:szCs w:val="24"/>
              </w:rP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46A38D50" w:rsidR="00A160B2" w:rsidRDefault="00111CDC" w:rsidP="006C3150">
            <w:pPr>
              <w:pStyle w:val="Infotext"/>
            </w:pPr>
            <w:r>
              <w:t>None</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7427D8">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427D8">
        <w:trPr>
          <w:tblHeader/>
        </w:trPr>
        <w:tc>
          <w:tcPr>
            <w:tcW w:w="8309" w:type="dxa"/>
            <w:tcBorders>
              <w:left w:val="nil"/>
              <w:bottom w:val="nil"/>
              <w:right w:val="nil"/>
            </w:tcBorders>
          </w:tcPr>
          <w:p w14:paraId="166680B3" w14:textId="3D2A5D91" w:rsidR="007427D8" w:rsidRDefault="007427D8" w:rsidP="007427D8">
            <w:r w:rsidRPr="0036406F">
              <w:t>This report sets out</w:t>
            </w:r>
            <w:r>
              <w:t xml:space="preserve"> details of decisions taken under the Urgency procedure by the Leader since the meeting of the Council on 30 November 2023.</w:t>
            </w:r>
          </w:p>
          <w:p w14:paraId="75641B55" w14:textId="77777777" w:rsidR="007427D8" w:rsidRPr="008E37B3" w:rsidRDefault="007427D8" w:rsidP="007427D8">
            <w:pPr>
              <w:rPr>
                <w:rFonts w:cs="Arial"/>
                <w:color w:val="00FFFF"/>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0DB3AFF2" w:rsidR="00A160B2" w:rsidRDefault="00111CDC" w:rsidP="00A160B2">
            <w:r>
              <w:t>That the report be noted.</w:t>
            </w:r>
            <w:r w:rsidR="00A160B2">
              <w:t xml:space="preserve">  </w:t>
            </w:r>
          </w:p>
        </w:tc>
      </w:tr>
    </w:tbl>
    <w:p w14:paraId="53DC7DE2" w14:textId="0A08577C" w:rsidR="002A2389" w:rsidRDefault="002A2389" w:rsidP="00A160B2">
      <w:pPr>
        <w:pStyle w:val="Heading2"/>
      </w:pPr>
      <w:r>
        <w:t>Section 2 – Report</w:t>
      </w:r>
    </w:p>
    <w:p w14:paraId="7D10EC5C" w14:textId="0D488E18" w:rsidR="00111CDC" w:rsidRDefault="00111CDC" w:rsidP="00111CDC"/>
    <w:p w14:paraId="6F77B3EB" w14:textId="77777777" w:rsidR="007427D8" w:rsidRDefault="007427D8" w:rsidP="007427D8">
      <w:pPr>
        <w:rPr>
          <w:rFonts w:cs="Arial"/>
          <w:szCs w:val="24"/>
        </w:rPr>
      </w:pPr>
      <w:r>
        <w:rPr>
          <w:rFonts w:cs="Arial"/>
          <w:szCs w:val="24"/>
        </w:rPr>
        <w:t xml:space="preserve">In accordance with Committee Procedure Rule 47.6 set out in Part 4 of the Council’s Constitution, any </w:t>
      </w:r>
      <w:r w:rsidRPr="0036406F">
        <w:rPr>
          <w:rFonts w:cs="Arial"/>
          <w:szCs w:val="24"/>
        </w:rPr>
        <w:t>Executive decisions taken as a matter of urgency are reported to the next available meeting of the Council.</w:t>
      </w:r>
      <w:r>
        <w:rPr>
          <w:rFonts w:cs="Arial"/>
          <w:szCs w:val="24"/>
        </w:rPr>
        <w:t xml:space="preserve"> </w:t>
      </w:r>
    </w:p>
    <w:p w14:paraId="5E3E32E2" w14:textId="77777777" w:rsidR="007427D8" w:rsidRDefault="007427D8" w:rsidP="007427D8">
      <w:pPr>
        <w:rPr>
          <w:rFonts w:cs="Arial"/>
          <w:szCs w:val="24"/>
        </w:rPr>
      </w:pPr>
    </w:p>
    <w:p w14:paraId="1332F354" w14:textId="56930825" w:rsidR="007427D8" w:rsidRDefault="007427D8" w:rsidP="007427D8">
      <w:pPr>
        <w:rPr>
          <w:rFonts w:cs="Arial"/>
          <w:szCs w:val="24"/>
        </w:rPr>
      </w:pPr>
      <w:r>
        <w:rPr>
          <w:rFonts w:cs="Arial"/>
          <w:szCs w:val="24"/>
        </w:rPr>
        <w:t>Since the Council meeting on 30 November 2023, one such decision was taken, the details of which are below:</w:t>
      </w:r>
    </w:p>
    <w:p w14:paraId="7A3BB492" w14:textId="77777777" w:rsidR="00F100EB" w:rsidRDefault="00F100EB" w:rsidP="007427D8">
      <w:pPr>
        <w:rPr>
          <w:rFonts w:cs="Arial"/>
          <w:szCs w:val="24"/>
        </w:rPr>
      </w:pPr>
    </w:p>
    <w:p w14:paraId="7BDB197A" w14:textId="77777777" w:rsidR="00F100EB" w:rsidRDefault="00F100EB" w:rsidP="007427D8">
      <w:pPr>
        <w:rPr>
          <w:rFonts w:cs="Arial"/>
          <w:szCs w:val="24"/>
        </w:rPr>
      </w:pPr>
    </w:p>
    <w:p w14:paraId="24AD8E39" w14:textId="77777777" w:rsidR="007427D8" w:rsidRDefault="007427D8" w:rsidP="007427D8">
      <w:pPr>
        <w:rPr>
          <w:rFonts w:cs="Arial"/>
          <w:szCs w:val="24"/>
        </w:rPr>
      </w:pPr>
    </w:p>
    <w:tbl>
      <w:tblPr>
        <w:tblStyle w:val="TableGrid"/>
        <w:tblW w:w="9092" w:type="dxa"/>
        <w:tblLayout w:type="fixed"/>
        <w:tblLook w:val="01E0" w:firstRow="1" w:lastRow="1" w:firstColumn="1" w:lastColumn="1" w:noHBand="0" w:noVBand="0"/>
      </w:tblPr>
      <w:tblGrid>
        <w:gridCol w:w="3188"/>
        <w:gridCol w:w="2953"/>
        <w:gridCol w:w="2951"/>
      </w:tblGrid>
      <w:tr w:rsidR="007427D8" w:rsidRPr="00CC0D36" w14:paraId="5C64EC7C" w14:textId="77777777" w:rsidTr="00812CB4">
        <w:tc>
          <w:tcPr>
            <w:tcW w:w="3188" w:type="dxa"/>
          </w:tcPr>
          <w:p w14:paraId="3135D6BB" w14:textId="77777777" w:rsidR="007427D8" w:rsidRPr="00CC0D36" w:rsidRDefault="007427D8" w:rsidP="00812CB4">
            <w:pPr>
              <w:rPr>
                <w:rFonts w:cs="Arial"/>
                <w:b/>
                <w:szCs w:val="24"/>
              </w:rPr>
            </w:pPr>
            <w:r w:rsidRPr="00CC0D36">
              <w:rPr>
                <w:rFonts w:cs="Arial"/>
                <w:b/>
                <w:szCs w:val="24"/>
              </w:rPr>
              <w:lastRenderedPageBreak/>
              <w:t>Subject</w:t>
            </w:r>
          </w:p>
        </w:tc>
        <w:tc>
          <w:tcPr>
            <w:tcW w:w="2953" w:type="dxa"/>
          </w:tcPr>
          <w:p w14:paraId="797B9C59" w14:textId="77777777" w:rsidR="007427D8" w:rsidRPr="00CC0D36" w:rsidRDefault="007427D8" w:rsidP="00812CB4">
            <w:pPr>
              <w:rPr>
                <w:rFonts w:cs="Arial"/>
                <w:b/>
                <w:szCs w:val="24"/>
              </w:rPr>
            </w:pPr>
            <w:r w:rsidRPr="00CC0D36">
              <w:rPr>
                <w:rFonts w:cs="Arial"/>
                <w:b/>
                <w:szCs w:val="24"/>
              </w:rPr>
              <w:t xml:space="preserve">Decision Maker </w:t>
            </w:r>
          </w:p>
          <w:p w14:paraId="1629E910" w14:textId="77777777" w:rsidR="007427D8" w:rsidRPr="00CC0D36" w:rsidRDefault="007427D8" w:rsidP="00812CB4">
            <w:pPr>
              <w:rPr>
                <w:rFonts w:cs="Arial"/>
                <w:szCs w:val="24"/>
              </w:rPr>
            </w:pPr>
          </w:p>
        </w:tc>
        <w:tc>
          <w:tcPr>
            <w:tcW w:w="2951" w:type="dxa"/>
          </w:tcPr>
          <w:p w14:paraId="60DEBF7C" w14:textId="77777777" w:rsidR="007427D8" w:rsidRPr="00CC0D36" w:rsidRDefault="007427D8" w:rsidP="00812CB4">
            <w:pPr>
              <w:rPr>
                <w:rFonts w:cs="Arial"/>
                <w:b/>
                <w:szCs w:val="24"/>
              </w:rPr>
            </w:pPr>
            <w:r w:rsidRPr="00CC0D36">
              <w:rPr>
                <w:rFonts w:cs="Arial"/>
                <w:b/>
                <w:szCs w:val="24"/>
              </w:rPr>
              <w:t>Reason for Urgency</w:t>
            </w:r>
          </w:p>
        </w:tc>
      </w:tr>
      <w:tr w:rsidR="007427D8" w:rsidRPr="00CC0D36" w14:paraId="21EDBFF2" w14:textId="77777777" w:rsidTr="00812CB4">
        <w:tc>
          <w:tcPr>
            <w:tcW w:w="3188" w:type="dxa"/>
          </w:tcPr>
          <w:p w14:paraId="643A9BEF" w14:textId="34C1AD26" w:rsidR="00F100EB" w:rsidRDefault="00F100EB" w:rsidP="00F100EB">
            <w:pPr>
              <w:pStyle w:val="Infotext"/>
              <w:rPr>
                <w:rFonts w:cs="Arial"/>
                <w:sz w:val="24"/>
                <w:szCs w:val="24"/>
              </w:rPr>
            </w:pPr>
            <w:r w:rsidRPr="2EBA4391">
              <w:rPr>
                <w:rFonts w:cs="Arial"/>
                <w:sz w:val="24"/>
                <w:szCs w:val="24"/>
              </w:rPr>
              <w:t xml:space="preserve">The </w:t>
            </w:r>
            <w:r>
              <w:rPr>
                <w:rFonts w:cs="Arial"/>
                <w:sz w:val="24"/>
                <w:szCs w:val="24"/>
              </w:rPr>
              <w:t>a</w:t>
            </w:r>
            <w:r w:rsidRPr="2EBA4391">
              <w:rPr>
                <w:rFonts w:cs="Arial"/>
                <w:sz w:val="24"/>
                <w:szCs w:val="24"/>
              </w:rPr>
              <w:t>cquisition of a site as a proposed location for a Special Educational Needs school provision</w:t>
            </w:r>
          </w:p>
          <w:p w14:paraId="26D1353A" w14:textId="0F4EFC88" w:rsidR="007427D8" w:rsidRPr="007553DA" w:rsidRDefault="007427D8" w:rsidP="00812CB4">
            <w:pPr>
              <w:rPr>
                <w:rFonts w:cs="Arial"/>
                <w:bCs/>
                <w:szCs w:val="24"/>
              </w:rPr>
            </w:pPr>
          </w:p>
        </w:tc>
        <w:tc>
          <w:tcPr>
            <w:tcW w:w="2953" w:type="dxa"/>
          </w:tcPr>
          <w:p w14:paraId="42F3C64A" w14:textId="77777777" w:rsidR="007427D8" w:rsidRDefault="007427D8" w:rsidP="00812CB4">
            <w:pPr>
              <w:rPr>
                <w:rFonts w:cs="Arial"/>
                <w:szCs w:val="24"/>
              </w:rPr>
            </w:pPr>
            <w:r>
              <w:rPr>
                <w:rFonts w:cs="Arial"/>
                <w:szCs w:val="24"/>
              </w:rPr>
              <w:t>Leader</w:t>
            </w:r>
          </w:p>
        </w:tc>
        <w:tc>
          <w:tcPr>
            <w:tcW w:w="2951" w:type="dxa"/>
          </w:tcPr>
          <w:p w14:paraId="757FEFA5" w14:textId="1F8D6480" w:rsidR="00F100EB" w:rsidRDefault="00F100EB" w:rsidP="00F100EB">
            <w:pPr>
              <w:pStyle w:val="Infotext"/>
              <w:rPr>
                <w:rFonts w:cs="Arial"/>
                <w:sz w:val="24"/>
                <w:szCs w:val="24"/>
              </w:rPr>
            </w:pPr>
            <w:r w:rsidRPr="1737E04B">
              <w:rPr>
                <w:rFonts w:cs="Arial"/>
                <w:sz w:val="24"/>
                <w:szCs w:val="24"/>
              </w:rPr>
              <w:t xml:space="preserve">The </w:t>
            </w:r>
            <w:r>
              <w:rPr>
                <w:rFonts w:cs="Arial"/>
                <w:sz w:val="24"/>
                <w:szCs w:val="24"/>
              </w:rPr>
              <w:t>decision</w:t>
            </w:r>
            <w:r w:rsidRPr="1737E04B">
              <w:rPr>
                <w:rFonts w:cs="Arial"/>
                <w:sz w:val="24"/>
                <w:szCs w:val="24"/>
              </w:rPr>
              <w:t xml:space="preserve"> </w:t>
            </w:r>
            <w:r>
              <w:rPr>
                <w:rFonts w:cs="Arial"/>
                <w:sz w:val="24"/>
                <w:szCs w:val="24"/>
              </w:rPr>
              <w:t>was</w:t>
            </w:r>
            <w:r w:rsidRPr="1737E04B">
              <w:rPr>
                <w:rFonts w:cs="Arial"/>
                <w:sz w:val="24"/>
                <w:szCs w:val="24"/>
              </w:rPr>
              <w:t xml:space="preserve"> urgent as it involve</w:t>
            </w:r>
            <w:r>
              <w:rPr>
                <w:rFonts w:cs="Arial"/>
                <w:sz w:val="24"/>
                <w:szCs w:val="24"/>
              </w:rPr>
              <w:t>d</w:t>
            </w:r>
            <w:r w:rsidRPr="1737E04B">
              <w:rPr>
                <w:rFonts w:cs="Arial"/>
                <w:sz w:val="24"/>
                <w:szCs w:val="24"/>
              </w:rPr>
              <w:t xml:space="preserve"> a property acquisition which has timescales which are outside of </w:t>
            </w:r>
            <w:r w:rsidRPr="0084376F">
              <w:rPr>
                <w:rFonts w:cs="Arial"/>
                <w:sz w:val="24"/>
                <w:szCs w:val="24"/>
              </w:rPr>
              <w:t>the usual decision- making process.</w:t>
            </w:r>
          </w:p>
          <w:p w14:paraId="4600A604" w14:textId="71EBBC98" w:rsidR="007427D8" w:rsidRPr="007553DA" w:rsidRDefault="007427D8" w:rsidP="00F100EB">
            <w:pPr>
              <w:rPr>
                <w:rFonts w:cs="Arial"/>
                <w:szCs w:val="24"/>
                <w:lang w:val="en-US" w:eastAsia="en-GB"/>
              </w:rPr>
            </w:pPr>
          </w:p>
        </w:tc>
      </w:tr>
    </w:tbl>
    <w:p w14:paraId="38E96E3F" w14:textId="77777777" w:rsidR="007427D8" w:rsidRDefault="007427D8" w:rsidP="007427D8">
      <w:pPr>
        <w:rPr>
          <w:rFonts w:cs="Arial"/>
        </w:rPr>
      </w:pPr>
    </w:p>
    <w:p w14:paraId="1EE7258F" w14:textId="77777777" w:rsidR="00F100EB" w:rsidRPr="00575383" w:rsidRDefault="007427D8" w:rsidP="00F100EB">
      <w:pPr>
        <w:rPr>
          <w:lang w:val="en-US"/>
        </w:rPr>
      </w:pPr>
      <w:r>
        <w:rPr>
          <w:rFonts w:cs="Arial"/>
          <w:szCs w:val="24"/>
        </w:rPr>
        <w:t>As the decision was deemed urgent, the agreement of the Chair of the Overview and Scrutiny Committee was obtained that the decision would not be subject to the call-in procedure</w:t>
      </w:r>
      <w:r w:rsidR="00F100EB">
        <w:rPr>
          <w:rFonts w:cs="Arial"/>
          <w:szCs w:val="24"/>
        </w:rPr>
        <w:t xml:space="preserve"> </w:t>
      </w:r>
      <w:r w:rsidR="00F100EB" w:rsidRPr="00575383">
        <w:rPr>
          <w:lang w:val="en-US"/>
        </w:rPr>
        <w:t>as any delay likely to be caused by the call-in process would seriously prejudice the Council’s interests</w:t>
      </w:r>
      <w:r w:rsidR="00F100EB">
        <w:rPr>
          <w:lang w:val="en-US"/>
        </w:rPr>
        <w:t>.</w:t>
      </w:r>
    </w:p>
    <w:p w14:paraId="5847F66A" w14:textId="77777777" w:rsidR="007427D8" w:rsidRDefault="007427D8" w:rsidP="007427D8">
      <w:pPr>
        <w:rPr>
          <w:rFonts w:cs="Arial"/>
          <w:szCs w:val="24"/>
        </w:rPr>
      </w:pPr>
    </w:p>
    <w:p w14:paraId="5BC5256F" w14:textId="77777777" w:rsidR="007427D8" w:rsidRDefault="007427D8" w:rsidP="007427D8">
      <w:pPr>
        <w:rPr>
          <w:rFonts w:cs="Arial"/>
          <w:b/>
          <w:bCs/>
          <w:szCs w:val="24"/>
        </w:rPr>
      </w:pPr>
      <w:r>
        <w:rPr>
          <w:rFonts w:cs="Arial"/>
          <w:b/>
          <w:bCs/>
          <w:szCs w:val="24"/>
        </w:rPr>
        <w:t xml:space="preserve">General Exception, </w:t>
      </w:r>
      <w:r w:rsidRPr="006E5810">
        <w:rPr>
          <w:rFonts w:cs="Arial"/>
          <w:b/>
          <w:bCs/>
          <w:szCs w:val="24"/>
        </w:rPr>
        <w:t>Special Urgency</w:t>
      </w:r>
      <w:r>
        <w:rPr>
          <w:rFonts w:cs="Arial"/>
          <w:b/>
          <w:bCs/>
          <w:szCs w:val="24"/>
        </w:rPr>
        <w:t xml:space="preserve"> and Private Meetings</w:t>
      </w:r>
    </w:p>
    <w:p w14:paraId="353A06DD" w14:textId="77777777" w:rsidR="007427D8" w:rsidRDefault="007427D8" w:rsidP="007427D8">
      <w:pPr>
        <w:rPr>
          <w:rFonts w:cs="Arial"/>
          <w:b/>
          <w:bCs/>
          <w:szCs w:val="24"/>
        </w:rPr>
      </w:pPr>
    </w:p>
    <w:p w14:paraId="0E262993" w14:textId="559B72D5" w:rsidR="007427D8" w:rsidRDefault="007427D8" w:rsidP="007427D8">
      <w:pPr>
        <w:rPr>
          <w:rFonts w:cs="Arial"/>
          <w:szCs w:val="24"/>
        </w:rPr>
      </w:pPr>
      <w:r>
        <w:rPr>
          <w:rFonts w:cs="Arial"/>
          <w:szCs w:val="24"/>
        </w:rPr>
        <w:t xml:space="preserve">In accordance with Rule 17 of the Access to Information Procedure Rules, the Chair of the Overview and Scrutiny Committee agreed that the key decision in relation </w:t>
      </w:r>
      <w:r w:rsidRPr="00FE075A">
        <w:rPr>
          <w:rFonts w:cs="Arial"/>
          <w:szCs w:val="24"/>
        </w:rPr>
        <w:t xml:space="preserve">to the following </w:t>
      </w:r>
      <w:r>
        <w:rPr>
          <w:rFonts w:cs="Arial"/>
          <w:szCs w:val="24"/>
        </w:rPr>
        <w:t xml:space="preserve">report </w:t>
      </w:r>
      <w:r w:rsidRPr="00FE075A">
        <w:rPr>
          <w:rFonts w:cs="Arial"/>
          <w:szCs w:val="24"/>
        </w:rPr>
        <w:t xml:space="preserve">to </w:t>
      </w:r>
      <w:r>
        <w:rPr>
          <w:rFonts w:cs="Arial"/>
          <w:szCs w:val="24"/>
        </w:rPr>
        <w:t>the Leader</w:t>
      </w:r>
      <w:r w:rsidRPr="00FE075A">
        <w:rPr>
          <w:rFonts w:cs="Arial"/>
          <w:szCs w:val="24"/>
        </w:rPr>
        <w:t>,</w:t>
      </w:r>
      <w:r w:rsidRPr="00151D7F">
        <w:rPr>
          <w:rFonts w:cs="Arial"/>
          <w:szCs w:val="24"/>
        </w:rPr>
        <w:t xml:space="preserve"> </w:t>
      </w:r>
      <w:r>
        <w:rPr>
          <w:rFonts w:cs="Arial"/>
          <w:szCs w:val="24"/>
        </w:rPr>
        <w:t>which had not been included on the Key Decision Schedule</w:t>
      </w:r>
      <w:r w:rsidR="00F100EB">
        <w:rPr>
          <w:rFonts w:cs="Arial"/>
          <w:szCs w:val="24"/>
        </w:rPr>
        <w:t xml:space="preserve"> </w:t>
      </w:r>
      <w:r>
        <w:rPr>
          <w:rFonts w:cs="Arial"/>
          <w:szCs w:val="24"/>
        </w:rPr>
        <w:t>could be taken:</w:t>
      </w:r>
    </w:p>
    <w:p w14:paraId="6915A558" w14:textId="77777777" w:rsidR="007427D8" w:rsidRDefault="007427D8" w:rsidP="007427D8">
      <w:pPr>
        <w:rPr>
          <w:rFonts w:cs="Arial"/>
          <w:szCs w:val="24"/>
        </w:rPr>
      </w:pPr>
    </w:p>
    <w:tbl>
      <w:tblPr>
        <w:tblStyle w:val="TableGrid"/>
        <w:tblW w:w="8784" w:type="dxa"/>
        <w:tblLook w:val="04A0" w:firstRow="1" w:lastRow="0" w:firstColumn="1" w:lastColumn="0" w:noHBand="0" w:noVBand="1"/>
      </w:tblPr>
      <w:tblGrid>
        <w:gridCol w:w="2766"/>
        <w:gridCol w:w="2766"/>
        <w:gridCol w:w="3252"/>
      </w:tblGrid>
      <w:tr w:rsidR="007427D8" w14:paraId="06D28625" w14:textId="77777777" w:rsidTr="00812CB4">
        <w:tc>
          <w:tcPr>
            <w:tcW w:w="2766" w:type="dxa"/>
          </w:tcPr>
          <w:p w14:paraId="7E7522F7" w14:textId="77777777" w:rsidR="007427D8" w:rsidRPr="00927C8D" w:rsidRDefault="007427D8" w:rsidP="00812CB4">
            <w:pPr>
              <w:rPr>
                <w:rFonts w:cs="Arial"/>
                <w:b/>
                <w:bCs/>
                <w:szCs w:val="24"/>
              </w:rPr>
            </w:pPr>
            <w:r w:rsidRPr="00927C8D">
              <w:rPr>
                <w:rFonts w:cs="Arial"/>
                <w:b/>
                <w:bCs/>
                <w:szCs w:val="24"/>
              </w:rPr>
              <w:t xml:space="preserve">Subject </w:t>
            </w:r>
          </w:p>
        </w:tc>
        <w:tc>
          <w:tcPr>
            <w:tcW w:w="2766" w:type="dxa"/>
          </w:tcPr>
          <w:p w14:paraId="6ECB638D" w14:textId="77777777" w:rsidR="007427D8" w:rsidRPr="00927C8D" w:rsidRDefault="007427D8" w:rsidP="00812CB4">
            <w:pPr>
              <w:rPr>
                <w:rFonts w:cs="Arial"/>
                <w:b/>
                <w:bCs/>
                <w:szCs w:val="24"/>
              </w:rPr>
            </w:pPr>
            <w:r w:rsidRPr="00927C8D">
              <w:rPr>
                <w:rFonts w:cs="Arial"/>
                <w:b/>
                <w:bCs/>
                <w:szCs w:val="24"/>
              </w:rPr>
              <w:t>Decision Maker</w:t>
            </w:r>
          </w:p>
        </w:tc>
        <w:tc>
          <w:tcPr>
            <w:tcW w:w="3252" w:type="dxa"/>
          </w:tcPr>
          <w:p w14:paraId="0BB701F3" w14:textId="77777777" w:rsidR="007427D8" w:rsidRPr="00927C8D" w:rsidRDefault="007427D8" w:rsidP="00812CB4">
            <w:pPr>
              <w:rPr>
                <w:rFonts w:cs="Arial"/>
                <w:b/>
                <w:bCs/>
                <w:szCs w:val="24"/>
              </w:rPr>
            </w:pPr>
            <w:r w:rsidRPr="00927C8D">
              <w:rPr>
                <w:rFonts w:cs="Arial"/>
                <w:b/>
                <w:bCs/>
                <w:szCs w:val="24"/>
              </w:rPr>
              <w:t>Reason for Urgency</w:t>
            </w:r>
          </w:p>
        </w:tc>
      </w:tr>
      <w:tr w:rsidR="007427D8" w14:paraId="2D430F76" w14:textId="77777777" w:rsidTr="00812CB4">
        <w:tc>
          <w:tcPr>
            <w:tcW w:w="2766" w:type="dxa"/>
          </w:tcPr>
          <w:p w14:paraId="0732BC76" w14:textId="77777777" w:rsidR="00F100EB" w:rsidRDefault="00F100EB" w:rsidP="00F100EB">
            <w:pPr>
              <w:pStyle w:val="Infotext"/>
              <w:rPr>
                <w:rFonts w:cs="Arial"/>
                <w:sz w:val="24"/>
                <w:szCs w:val="24"/>
              </w:rPr>
            </w:pPr>
            <w:r w:rsidRPr="2EBA4391">
              <w:rPr>
                <w:rFonts w:cs="Arial"/>
                <w:sz w:val="24"/>
                <w:szCs w:val="24"/>
              </w:rPr>
              <w:t xml:space="preserve">The </w:t>
            </w:r>
            <w:r>
              <w:rPr>
                <w:rFonts w:cs="Arial"/>
                <w:sz w:val="24"/>
                <w:szCs w:val="24"/>
              </w:rPr>
              <w:t>a</w:t>
            </w:r>
            <w:r w:rsidRPr="2EBA4391">
              <w:rPr>
                <w:rFonts w:cs="Arial"/>
                <w:sz w:val="24"/>
                <w:szCs w:val="24"/>
              </w:rPr>
              <w:t>cquisition of a site as a proposed location for a Special Educational Needs school provision</w:t>
            </w:r>
          </w:p>
          <w:p w14:paraId="5570FC20" w14:textId="29965474" w:rsidR="007427D8" w:rsidRPr="007553DA" w:rsidRDefault="007427D8" w:rsidP="00812CB4">
            <w:pPr>
              <w:rPr>
                <w:rFonts w:cs="Arial"/>
                <w:bCs/>
                <w:szCs w:val="24"/>
              </w:rPr>
            </w:pPr>
          </w:p>
        </w:tc>
        <w:tc>
          <w:tcPr>
            <w:tcW w:w="2766" w:type="dxa"/>
          </w:tcPr>
          <w:p w14:paraId="6A854ACA" w14:textId="77777777" w:rsidR="007427D8" w:rsidRDefault="007427D8" w:rsidP="00812CB4">
            <w:pPr>
              <w:rPr>
                <w:rFonts w:cs="Arial"/>
                <w:szCs w:val="24"/>
              </w:rPr>
            </w:pPr>
            <w:r>
              <w:rPr>
                <w:rFonts w:cs="Arial"/>
                <w:szCs w:val="24"/>
              </w:rPr>
              <w:t>L</w:t>
            </w:r>
            <w:r>
              <w:rPr>
                <w:szCs w:val="24"/>
              </w:rPr>
              <w:t>eader</w:t>
            </w:r>
          </w:p>
        </w:tc>
        <w:tc>
          <w:tcPr>
            <w:tcW w:w="3252" w:type="dxa"/>
          </w:tcPr>
          <w:p w14:paraId="1B431B8E" w14:textId="409EF3F0" w:rsidR="00F100EB" w:rsidRPr="00575383" w:rsidRDefault="007427D8" w:rsidP="00F100EB">
            <w:pPr>
              <w:rPr>
                <w:lang w:val="en-US"/>
              </w:rPr>
            </w:pPr>
            <w:r w:rsidRPr="00575383">
              <w:rPr>
                <w:lang w:val="en-US"/>
              </w:rPr>
              <w:t xml:space="preserve">At the time of the publication of the Key Decision Schedule, it </w:t>
            </w:r>
            <w:r>
              <w:rPr>
                <w:lang w:val="en-US"/>
              </w:rPr>
              <w:t xml:space="preserve">was </w:t>
            </w:r>
            <w:r w:rsidRPr="00575383">
              <w:rPr>
                <w:lang w:val="en-US"/>
              </w:rPr>
              <w:t xml:space="preserve">not </w:t>
            </w:r>
            <w:r>
              <w:rPr>
                <w:lang w:val="en-US"/>
              </w:rPr>
              <w:t>en</w:t>
            </w:r>
            <w:r w:rsidRPr="00575383">
              <w:rPr>
                <w:lang w:val="en-US"/>
              </w:rPr>
              <w:t xml:space="preserve">visaged that a Leader’s Decision meeting would be required, and </w:t>
            </w:r>
            <w:r>
              <w:rPr>
                <w:lang w:val="en-US"/>
              </w:rPr>
              <w:t xml:space="preserve">the </w:t>
            </w:r>
            <w:r w:rsidRPr="00575383">
              <w:rPr>
                <w:lang w:val="en-US"/>
              </w:rPr>
              <w:t xml:space="preserve">decision </w:t>
            </w:r>
            <w:r>
              <w:rPr>
                <w:lang w:val="en-US"/>
              </w:rPr>
              <w:t xml:space="preserve">could not </w:t>
            </w:r>
            <w:r w:rsidRPr="00575383">
              <w:rPr>
                <w:lang w:val="en-US"/>
              </w:rPr>
              <w:t xml:space="preserve">wait until the next scheduled meeting of Cabinet on </w:t>
            </w:r>
            <w:r w:rsidR="00F100EB">
              <w:rPr>
                <w:lang w:val="en-US"/>
              </w:rPr>
              <w:t>15</w:t>
            </w:r>
            <w:r>
              <w:rPr>
                <w:lang w:val="en-US"/>
              </w:rPr>
              <w:t xml:space="preserve"> February 202</w:t>
            </w:r>
            <w:r w:rsidR="00F100EB">
              <w:rPr>
                <w:lang w:val="en-US"/>
              </w:rPr>
              <w:t>4</w:t>
            </w:r>
            <w:r w:rsidRPr="00575383">
              <w:rPr>
                <w:lang w:val="en-US"/>
              </w:rPr>
              <w:t>.</w:t>
            </w:r>
            <w:r w:rsidR="00F100EB">
              <w:rPr>
                <w:lang w:val="en-US"/>
              </w:rPr>
              <w:t xml:space="preserve"> </w:t>
            </w:r>
          </w:p>
          <w:p w14:paraId="16930831" w14:textId="7884E123" w:rsidR="007427D8" w:rsidRPr="00575383" w:rsidRDefault="007427D8" w:rsidP="00812CB4">
            <w:pPr>
              <w:rPr>
                <w:lang w:val="en-US"/>
              </w:rPr>
            </w:pPr>
          </w:p>
          <w:p w14:paraId="21AE0D5B" w14:textId="77777777" w:rsidR="007427D8" w:rsidRPr="007553DA" w:rsidRDefault="007427D8" w:rsidP="00812CB4">
            <w:pPr>
              <w:rPr>
                <w:rFonts w:cs="Arial"/>
                <w:szCs w:val="24"/>
                <w:lang w:val="en-US"/>
              </w:rPr>
            </w:pPr>
          </w:p>
        </w:tc>
      </w:tr>
    </w:tbl>
    <w:p w14:paraId="00B4EC93" w14:textId="77777777" w:rsidR="007427D8" w:rsidRDefault="007427D8" w:rsidP="007427D8">
      <w:pPr>
        <w:rPr>
          <w:rFonts w:cs="Arial"/>
          <w:szCs w:val="24"/>
        </w:rPr>
      </w:pPr>
      <w:r>
        <w:rPr>
          <w:rFonts w:cs="Arial"/>
          <w:szCs w:val="24"/>
        </w:rPr>
        <w:t xml:space="preserve"> </w:t>
      </w:r>
    </w:p>
    <w:p w14:paraId="37E47A8D" w14:textId="77777777" w:rsidR="007427D8" w:rsidRDefault="007427D8" w:rsidP="007427D8">
      <w:pPr>
        <w:pStyle w:val="Heading2"/>
        <w:keepNext/>
        <w:spacing w:after="240"/>
        <w:rPr>
          <w:rFonts w:ascii="Arial" w:hAnsi="Arial"/>
          <w:sz w:val="24"/>
          <w:szCs w:val="24"/>
        </w:rPr>
      </w:pPr>
      <w:r>
        <w:rPr>
          <w:rFonts w:ascii="Arial" w:hAnsi="Arial"/>
          <w:sz w:val="24"/>
          <w:szCs w:val="24"/>
        </w:rPr>
        <w:t>Since the last report to Council it has been necessary to seek the agreement of the Chair of the Overview and Scrutiny Committee for the Leader to meet in private in order to consider one of the appendices to the above-mentioned report.</w:t>
      </w:r>
    </w:p>
    <w:p w14:paraId="4ECCF748" w14:textId="77777777" w:rsidR="009E249E" w:rsidRDefault="009E249E" w:rsidP="00111CDC">
      <w:pPr>
        <w:rPr>
          <w:rFonts w:ascii="Arial Bold" w:hAnsi="Arial Bold"/>
          <w:b/>
        </w:rPr>
      </w:pPr>
    </w:p>
    <w:p w14:paraId="7EAFAC17" w14:textId="2698809E" w:rsidR="00213BE7" w:rsidRPr="00213BE7" w:rsidRDefault="00213BE7" w:rsidP="00111CDC">
      <w:pPr>
        <w:rPr>
          <w:rFonts w:ascii="Arial Bold" w:hAnsi="Arial Bold"/>
          <w:b/>
        </w:rPr>
      </w:pPr>
      <w:r>
        <w:rPr>
          <w:rFonts w:ascii="Arial Bold" w:hAnsi="Arial Bold"/>
          <w:b/>
        </w:rPr>
        <w:t>Ward</w:t>
      </w:r>
      <w:r w:rsidRPr="00213BE7">
        <w:rPr>
          <w:rFonts w:ascii="Arial Bold" w:hAnsi="Arial Bold"/>
          <w:b/>
        </w:rPr>
        <w:t xml:space="preserve"> Councillors’ comments</w:t>
      </w:r>
      <w:r w:rsidR="00111CDC">
        <w:rPr>
          <w:rFonts w:ascii="Arial Bold" w:hAnsi="Arial Bold"/>
          <w:b/>
        </w:rPr>
        <w:t xml:space="preserve"> N/A</w:t>
      </w:r>
    </w:p>
    <w:p w14:paraId="2590E2FF" w14:textId="77777777" w:rsidR="006B22FD" w:rsidRDefault="006B22FD" w:rsidP="00213BE7">
      <w:pPr>
        <w:pStyle w:val="Heading2"/>
      </w:pPr>
    </w:p>
    <w:p w14:paraId="240C22FA" w14:textId="77777777" w:rsidR="006B22FD" w:rsidRDefault="006B22FD" w:rsidP="00213BE7">
      <w:pPr>
        <w:pStyle w:val="Heading2"/>
      </w:pPr>
    </w:p>
    <w:p w14:paraId="3469E0D9" w14:textId="4261266E" w:rsidR="00213BE7" w:rsidRDefault="00213BE7" w:rsidP="00213BE7">
      <w:pPr>
        <w:pStyle w:val="Heading2"/>
      </w:pPr>
      <w:r>
        <w:lastRenderedPageBreak/>
        <w:t>Legal Implications</w:t>
      </w:r>
    </w:p>
    <w:p w14:paraId="13B77509" w14:textId="77777777" w:rsidR="006B22FD" w:rsidRDefault="006B22FD" w:rsidP="006B22FD"/>
    <w:p w14:paraId="6E8E01F7" w14:textId="77777777" w:rsidR="006B22FD" w:rsidRPr="006B22FD" w:rsidRDefault="006B22FD" w:rsidP="006B22FD">
      <w:pPr>
        <w:ind w:left="-150" w:right="135" w:firstLine="135"/>
        <w:textAlignment w:val="baseline"/>
        <w:rPr>
          <w:rFonts w:ascii="Segoe UI" w:hAnsi="Segoe UI" w:cs="Segoe UI"/>
          <w:sz w:val="18"/>
          <w:szCs w:val="18"/>
          <w:lang w:eastAsia="en-GB"/>
        </w:rPr>
      </w:pPr>
      <w:r w:rsidRPr="006B22FD">
        <w:rPr>
          <w:rFonts w:cs="Arial"/>
          <w:szCs w:val="24"/>
          <w:lang w:eastAsia="en-GB"/>
        </w:rPr>
        <w:t>As set out in t</w:t>
      </w:r>
      <w:r>
        <w:rPr>
          <w:rFonts w:cs="Arial"/>
          <w:szCs w:val="24"/>
          <w:lang w:eastAsia="en-GB"/>
        </w:rPr>
        <w:t>he urgent report.</w:t>
      </w:r>
    </w:p>
    <w:p w14:paraId="41BB405D" w14:textId="0E3B2C43" w:rsidR="002A2389" w:rsidRPr="005D3081" w:rsidRDefault="002A2389" w:rsidP="003D2FFE">
      <w:pPr>
        <w:pStyle w:val="Heading2"/>
        <w:spacing w:after="240"/>
      </w:pPr>
      <w:r w:rsidRPr="005D3081">
        <w:t>Financial Implications</w:t>
      </w:r>
    </w:p>
    <w:p w14:paraId="2E728AD7" w14:textId="77777777" w:rsidR="006B22FD" w:rsidRPr="006B22FD" w:rsidRDefault="006B22FD" w:rsidP="006B22FD">
      <w:pPr>
        <w:ind w:left="-150" w:right="135" w:firstLine="135"/>
        <w:textAlignment w:val="baseline"/>
        <w:rPr>
          <w:rFonts w:ascii="Segoe UI" w:hAnsi="Segoe UI" w:cs="Segoe UI"/>
          <w:sz w:val="18"/>
          <w:szCs w:val="18"/>
          <w:lang w:eastAsia="en-GB"/>
        </w:rPr>
      </w:pPr>
      <w:r w:rsidRPr="006B22FD">
        <w:rPr>
          <w:rFonts w:cs="Arial"/>
          <w:szCs w:val="24"/>
          <w:lang w:eastAsia="en-GB"/>
        </w:rPr>
        <w:t>As set out in t</w:t>
      </w:r>
      <w:r>
        <w:rPr>
          <w:rFonts w:cs="Arial"/>
          <w:szCs w:val="24"/>
          <w:lang w:eastAsia="en-GB"/>
        </w:rPr>
        <w:t>he urgent report.</w:t>
      </w:r>
    </w:p>
    <w:p w14:paraId="7E703FFF" w14:textId="4D226459" w:rsidR="00570F59" w:rsidRPr="005D3081" w:rsidRDefault="00C32DAE" w:rsidP="0083795A">
      <w:pPr>
        <w:pStyle w:val="Heading2"/>
        <w:spacing w:after="240"/>
      </w:pPr>
      <w:r w:rsidRPr="005D3081">
        <w:t>Risk Management Implications</w:t>
      </w:r>
    </w:p>
    <w:p w14:paraId="1B2B00BD" w14:textId="25042D22" w:rsidR="00570F59" w:rsidRPr="006B22FD" w:rsidRDefault="006B22FD" w:rsidP="0091054F">
      <w:pPr>
        <w:ind w:left="-150" w:right="135" w:firstLine="135"/>
        <w:textAlignment w:val="baseline"/>
        <w:rPr>
          <w:rFonts w:ascii="Segoe UI" w:hAnsi="Segoe UI" w:cs="Segoe UI"/>
          <w:sz w:val="18"/>
          <w:szCs w:val="18"/>
          <w:lang w:eastAsia="en-GB"/>
        </w:rPr>
      </w:pPr>
      <w:r w:rsidRPr="006B22FD">
        <w:rPr>
          <w:rFonts w:cs="Arial"/>
          <w:szCs w:val="24"/>
          <w:lang w:eastAsia="en-GB"/>
        </w:rPr>
        <w:t>As set out in t</w:t>
      </w:r>
      <w:r>
        <w:rPr>
          <w:rFonts w:cs="Arial"/>
          <w:szCs w:val="24"/>
          <w:lang w:eastAsia="en-GB"/>
        </w:rPr>
        <w:t>he urgent report.</w:t>
      </w:r>
    </w:p>
    <w:p w14:paraId="44D33D1F" w14:textId="6EECA706" w:rsidR="00FD31A0" w:rsidRDefault="00FD31A0" w:rsidP="003D2FFE">
      <w:pPr>
        <w:pStyle w:val="Heading2"/>
        <w:keepNext/>
        <w:spacing w:after="240"/>
      </w:pPr>
      <w:r w:rsidRPr="004A2543">
        <w:t>Equalities implications</w:t>
      </w:r>
      <w:r w:rsidR="00213BE7">
        <w:t xml:space="preserve"> / Public Sector Equality Duty </w:t>
      </w:r>
    </w:p>
    <w:p w14:paraId="58EE6175" w14:textId="77777777" w:rsidR="006B22FD" w:rsidRPr="006B22FD" w:rsidRDefault="006B22FD" w:rsidP="006B22FD">
      <w:pPr>
        <w:ind w:left="-150" w:right="135" w:firstLine="135"/>
        <w:textAlignment w:val="baseline"/>
        <w:rPr>
          <w:rFonts w:ascii="Segoe UI" w:hAnsi="Segoe UI" w:cs="Segoe UI"/>
          <w:sz w:val="18"/>
          <w:szCs w:val="18"/>
          <w:lang w:eastAsia="en-GB"/>
        </w:rPr>
      </w:pPr>
      <w:r w:rsidRPr="006B22FD">
        <w:rPr>
          <w:rFonts w:cs="Arial"/>
          <w:szCs w:val="24"/>
          <w:lang w:eastAsia="en-GB"/>
        </w:rPr>
        <w:t>As set out in t</w:t>
      </w:r>
      <w:r>
        <w:rPr>
          <w:rFonts w:cs="Arial"/>
          <w:szCs w:val="24"/>
          <w:lang w:eastAsia="en-GB"/>
        </w:rPr>
        <w:t>he urgent report.</w:t>
      </w:r>
    </w:p>
    <w:p w14:paraId="274CE199" w14:textId="42F64F85" w:rsidR="00435070" w:rsidRPr="006B22FD" w:rsidRDefault="00435070" w:rsidP="006B22FD">
      <w:pPr>
        <w:pStyle w:val="Heading3"/>
        <w:spacing w:before="480" w:after="240"/>
        <w:ind w:left="0" w:firstLine="0"/>
        <w:rPr>
          <w:rFonts w:ascii="Arial Bold" w:hAnsi="Arial Bold"/>
          <w:sz w:val="28"/>
        </w:rPr>
      </w:pPr>
      <w:r w:rsidRPr="00435070">
        <w:rPr>
          <w:rFonts w:ascii="Arial Bold" w:hAnsi="Arial Bold"/>
          <w:sz w:val="28"/>
        </w:rPr>
        <w:t>Council Priorities</w:t>
      </w:r>
    </w:p>
    <w:p w14:paraId="4B77658D" w14:textId="77777777" w:rsidR="00435070" w:rsidRPr="00752110" w:rsidRDefault="00435070" w:rsidP="00435070">
      <w:pPr>
        <w:pStyle w:val="StyleListParagraphBold"/>
        <w:ind w:left="0"/>
      </w:pPr>
    </w:p>
    <w:p w14:paraId="3E7FAA30" w14:textId="33EE5519" w:rsidR="00435070" w:rsidRPr="006B22FD" w:rsidRDefault="00435070" w:rsidP="006B22FD">
      <w:pPr>
        <w:pStyle w:val="StyleListParagraphBold"/>
        <w:ind w:left="0"/>
        <w:rPr>
          <w:b w:val="0"/>
          <w:bCs w:val="0"/>
        </w:rPr>
      </w:pPr>
      <w:r w:rsidRPr="006B22FD">
        <w:rPr>
          <w:b w:val="0"/>
          <w:bCs w:val="0"/>
        </w:rPr>
        <w:t>A place where those in need are supported</w:t>
      </w:r>
      <w:r w:rsidR="006B22FD">
        <w:rPr>
          <w:b w:val="0"/>
          <w:bCs w:val="0"/>
        </w:rPr>
        <w: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E085101" w:rsidR="00912904" w:rsidRPr="00A66326" w:rsidRDefault="00912904" w:rsidP="006B22FD">
      <w:pPr>
        <w:rPr>
          <w:sz w:val="28"/>
        </w:rPr>
      </w:pPr>
      <w:r w:rsidRPr="00A66326">
        <w:rPr>
          <w:b/>
          <w:sz w:val="28"/>
        </w:rPr>
        <w:t xml:space="preserve">Statutory Officer:  </w:t>
      </w:r>
      <w:r w:rsidR="006B22FD">
        <w:rPr>
          <w:b/>
          <w:sz w:val="28"/>
        </w:rPr>
        <w:t>Sharon Daniels</w:t>
      </w:r>
    </w:p>
    <w:p w14:paraId="57640BD9" w14:textId="5ABAB959" w:rsidR="00912904" w:rsidRPr="00A66326" w:rsidRDefault="00912904" w:rsidP="00912904">
      <w:r w:rsidRPr="00A66326">
        <w:t xml:space="preserve">Signed </w:t>
      </w:r>
      <w:r w:rsidR="006B22FD">
        <w:t>by</w:t>
      </w:r>
      <w:r w:rsidRPr="00A66326">
        <w:t xml:space="preserve"> the Chief Financial Officer</w:t>
      </w:r>
    </w:p>
    <w:p w14:paraId="650DA37B" w14:textId="77777777" w:rsidR="00912904" w:rsidRPr="00A66326" w:rsidRDefault="00912904" w:rsidP="00912904">
      <w:pPr>
        <w:rPr>
          <w:sz w:val="28"/>
        </w:rPr>
      </w:pPr>
    </w:p>
    <w:p w14:paraId="5745A2E3" w14:textId="28AEC42A" w:rsidR="00912904" w:rsidRPr="00A66326" w:rsidRDefault="00912904" w:rsidP="006B22FD">
      <w:pPr>
        <w:spacing w:after="480"/>
        <w:rPr>
          <w:sz w:val="28"/>
        </w:rPr>
      </w:pPr>
      <w:r w:rsidRPr="00A66326">
        <w:rPr>
          <w:b/>
          <w:sz w:val="28"/>
        </w:rPr>
        <w:t xml:space="preserve">Date:  </w:t>
      </w:r>
      <w:r w:rsidR="00DB2BC6">
        <w:rPr>
          <w:b/>
          <w:sz w:val="28"/>
        </w:rPr>
        <w:t>11 February 2024</w:t>
      </w:r>
    </w:p>
    <w:p w14:paraId="2586CC50" w14:textId="4F874E39" w:rsidR="00912904" w:rsidRPr="00A66326" w:rsidRDefault="00912904" w:rsidP="00912904">
      <w:pPr>
        <w:rPr>
          <w:sz w:val="28"/>
        </w:rPr>
      </w:pPr>
      <w:r w:rsidRPr="00A66326">
        <w:rPr>
          <w:b/>
          <w:sz w:val="28"/>
        </w:rPr>
        <w:t xml:space="preserve">Statutory Officer:  </w:t>
      </w:r>
      <w:r w:rsidR="00A4649F">
        <w:rPr>
          <w:b/>
          <w:sz w:val="28"/>
        </w:rPr>
        <w:t>Jessica Farmer</w:t>
      </w:r>
    </w:p>
    <w:p w14:paraId="3F58D77A" w14:textId="3BE3CCAB" w:rsidR="00912904" w:rsidRPr="00A66326" w:rsidRDefault="00912904" w:rsidP="00912904">
      <w:r w:rsidRPr="00A66326">
        <w:t>Signed by the Monitoring Officer</w:t>
      </w:r>
    </w:p>
    <w:p w14:paraId="52AD6B43" w14:textId="77777777" w:rsidR="00912904" w:rsidRPr="00A66326" w:rsidRDefault="00912904" w:rsidP="00912904">
      <w:pPr>
        <w:rPr>
          <w:sz w:val="28"/>
        </w:rPr>
      </w:pPr>
    </w:p>
    <w:p w14:paraId="61F8C7E6" w14:textId="61B394F3" w:rsidR="00912904" w:rsidRPr="003313EA" w:rsidRDefault="00912904" w:rsidP="00912904">
      <w:pPr>
        <w:spacing w:after="480"/>
        <w:rPr>
          <w:sz w:val="28"/>
        </w:rPr>
      </w:pPr>
      <w:r w:rsidRPr="00A66326">
        <w:rPr>
          <w:b/>
          <w:sz w:val="28"/>
        </w:rPr>
        <w:t xml:space="preserve">Date:  </w:t>
      </w:r>
      <w:r w:rsidR="005D3081">
        <w:rPr>
          <w:b/>
          <w:sz w:val="28"/>
        </w:rPr>
        <w:t>9 February 2024</w:t>
      </w:r>
    </w:p>
    <w:p w14:paraId="686CE5D8" w14:textId="77777777" w:rsidR="00912904" w:rsidRPr="00435B5D" w:rsidRDefault="00912904" w:rsidP="00912904">
      <w:pPr>
        <w:pStyle w:val="Heading2"/>
        <w:spacing w:after="240"/>
      </w:pPr>
      <w:r>
        <w:t>Mandatory Checks</w:t>
      </w:r>
    </w:p>
    <w:p w14:paraId="5366F9C3" w14:textId="32E69B48" w:rsidR="006B22FD" w:rsidRPr="00F319B0" w:rsidRDefault="00912904" w:rsidP="006B22FD">
      <w:pPr>
        <w:tabs>
          <w:tab w:val="left" w:pos="5610"/>
        </w:tabs>
        <w:ind w:right="81"/>
        <w:rPr>
          <w:rFonts w:cs="Arial"/>
          <w:lang w:val="en-US"/>
        </w:rPr>
      </w:pPr>
      <w:r w:rsidRPr="006B22FD">
        <w:rPr>
          <w:b/>
          <w:bCs/>
          <w:sz w:val="28"/>
        </w:rPr>
        <w:t>Ward Councillors notified:</w:t>
      </w:r>
      <w:r w:rsidRPr="00E90AFF">
        <w:rPr>
          <w:sz w:val="28"/>
        </w:rPr>
        <w:t xml:space="preserve">  </w:t>
      </w:r>
      <w:r w:rsidR="006B22FD" w:rsidRPr="71E85F3A">
        <w:rPr>
          <w:rFonts w:cs="Arial"/>
          <w:lang w:val="en-US"/>
        </w:rPr>
        <w:t xml:space="preserve">Ward </w:t>
      </w:r>
      <w:proofErr w:type="spellStart"/>
      <w:r w:rsidR="006B22FD" w:rsidRPr="71E85F3A">
        <w:rPr>
          <w:rFonts w:cs="Arial"/>
          <w:lang w:val="en-US"/>
        </w:rPr>
        <w:t>Councillors</w:t>
      </w:r>
      <w:proofErr w:type="spellEnd"/>
      <w:r w:rsidR="006B22FD" w:rsidRPr="71E85F3A">
        <w:rPr>
          <w:rFonts w:cs="Arial"/>
          <w:lang w:val="en-US"/>
        </w:rPr>
        <w:t xml:space="preserve"> </w:t>
      </w:r>
      <w:r w:rsidR="006B22FD">
        <w:rPr>
          <w:rFonts w:cs="Arial"/>
          <w:lang w:val="en-US"/>
        </w:rPr>
        <w:t>were</w:t>
      </w:r>
      <w:r w:rsidR="006B22FD" w:rsidRPr="71E85F3A">
        <w:rPr>
          <w:rFonts w:cs="Arial"/>
          <w:lang w:val="en-US"/>
        </w:rPr>
        <w:t xml:space="preserve"> informed.</w:t>
      </w:r>
    </w:p>
    <w:p w14:paraId="34BA8136" w14:textId="30889B33" w:rsidR="00912904" w:rsidRPr="006B22FD" w:rsidRDefault="00912904" w:rsidP="00E90AFF">
      <w:pPr>
        <w:pStyle w:val="Heading3"/>
        <w:ind w:left="0" w:firstLine="0"/>
        <w:rPr>
          <w:sz w:val="28"/>
          <w:lang w:val="en-US"/>
        </w:rPr>
      </w:pPr>
    </w:p>
    <w:p w14:paraId="629F8205" w14:textId="77777777" w:rsidR="002A2389" w:rsidRDefault="002A2389" w:rsidP="00912904">
      <w:pPr>
        <w:pStyle w:val="Heading2"/>
        <w:keepNext/>
        <w:spacing w:after="240"/>
      </w:pPr>
      <w:r>
        <w:lastRenderedPageBreak/>
        <w:t>Section 4 - Contact Details and Background Papers</w:t>
      </w:r>
    </w:p>
    <w:p w14:paraId="1C4BF2D4" w14:textId="66B4C66C" w:rsidR="002A2389" w:rsidRDefault="002A2389">
      <w:pPr>
        <w:pStyle w:val="Infotext"/>
        <w:rPr>
          <w:rFonts w:cs="Arial"/>
          <w:sz w:val="24"/>
        </w:rPr>
      </w:pPr>
      <w:r w:rsidRPr="00D914D2">
        <w:rPr>
          <w:b/>
        </w:rPr>
        <w:t>Contact:</w:t>
      </w:r>
      <w:r>
        <w:t xml:space="preserve">  </w:t>
      </w:r>
      <w:r w:rsidR="00A4649F">
        <w:rPr>
          <w:rFonts w:cs="Arial"/>
          <w:sz w:val="24"/>
        </w:rPr>
        <w:t xml:space="preserve">Alison Atherton, Senior Professional Democratic Services </w:t>
      </w:r>
    </w:p>
    <w:p w14:paraId="402D15DF" w14:textId="382D2DE1" w:rsidR="00A4649F" w:rsidRDefault="00A4649F">
      <w:pPr>
        <w:pStyle w:val="Infotext"/>
      </w:pPr>
      <w:r>
        <w:rPr>
          <w:rFonts w:cs="Arial"/>
          <w:sz w:val="24"/>
        </w:rPr>
        <w:t>Email:alison.atherton@harrow.gov.uk</w:t>
      </w:r>
    </w:p>
    <w:p w14:paraId="28AF6FE8" w14:textId="3A382980" w:rsidR="002A2389" w:rsidRDefault="002A2389" w:rsidP="00912904">
      <w:pPr>
        <w:pStyle w:val="Infotext"/>
        <w:spacing w:before="360"/>
      </w:pPr>
      <w:r w:rsidRPr="00D914D2">
        <w:rPr>
          <w:b/>
        </w:rPr>
        <w:t>Background Papers</w:t>
      </w:r>
      <w:r>
        <w:t xml:space="preserve">:  </w:t>
      </w:r>
      <w:r w:rsidR="00A4649F">
        <w:rPr>
          <w:rFonts w:cs="Arial"/>
          <w:sz w:val="24"/>
        </w:rPr>
        <w:t>Urgent Decision Forms</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179CD7C3" w:rsidR="00912904" w:rsidRDefault="00912904">
      <w:pPr>
        <w:pStyle w:val="Infotext"/>
        <w:tabs>
          <w:tab w:val="left" w:pos="656"/>
          <w:tab w:val="left" w:pos="6399"/>
        </w:tabs>
      </w:pPr>
      <w:r>
        <w:t>1.</w:t>
      </w:r>
      <w:r>
        <w:tab/>
        <w:t xml:space="preserve">Consultation </w:t>
      </w:r>
      <w:r>
        <w:tab/>
        <w:t xml:space="preserve">YES </w:t>
      </w:r>
    </w:p>
    <w:p w14:paraId="0AC2AC5C" w14:textId="1460A967" w:rsidR="00912904" w:rsidRDefault="00912904">
      <w:pPr>
        <w:pStyle w:val="Infotext"/>
        <w:tabs>
          <w:tab w:val="left" w:pos="656"/>
          <w:tab w:val="left" w:pos="6399"/>
        </w:tabs>
      </w:pPr>
      <w:r>
        <w:t>2.</w:t>
      </w:r>
      <w:r>
        <w:tab/>
        <w:t>Priorities</w:t>
      </w:r>
      <w:r>
        <w:tab/>
      </w:r>
      <w:r w:rsidR="00A4649F">
        <w:t>n/a</w:t>
      </w:r>
      <w:r>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862" w:hanging="720"/>
      </w:pPr>
      <w:rPr>
        <w:rFonts w:ascii="Symbol" w:hAnsi="Symbol" w:hint="default"/>
      </w:rPr>
    </w:lvl>
    <w:lvl w:ilvl="1" w:tplc="08090003">
      <w:start w:val="1"/>
      <w:numFmt w:val="decimal"/>
      <w:lvlText w:val="%2."/>
      <w:lvlJc w:val="left"/>
      <w:pPr>
        <w:tabs>
          <w:tab w:val="num" w:pos="1582"/>
        </w:tabs>
        <w:ind w:left="1582" w:hanging="360"/>
      </w:pPr>
    </w:lvl>
    <w:lvl w:ilvl="2" w:tplc="08090005">
      <w:start w:val="1"/>
      <w:numFmt w:val="decimal"/>
      <w:lvlText w:val="%3."/>
      <w:lvlJc w:val="left"/>
      <w:pPr>
        <w:tabs>
          <w:tab w:val="num" w:pos="2302"/>
        </w:tabs>
        <w:ind w:left="2302" w:hanging="360"/>
      </w:pPr>
    </w:lvl>
    <w:lvl w:ilvl="3" w:tplc="08090001">
      <w:start w:val="1"/>
      <w:numFmt w:val="decimal"/>
      <w:lvlText w:val="%4."/>
      <w:lvlJc w:val="left"/>
      <w:pPr>
        <w:tabs>
          <w:tab w:val="num" w:pos="3022"/>
        </w:tabs>
        <w:ind w:left="3022" w:hanging="360"/>
      </w:pPr>
    </w:lvl>
    <w:lvl w:ilvl="4" w:tplc="08090003">
      <w:start w:val="1"/>
      <w:numFmt w:val="decimal"/>
      <w:lvlText w:val="%5."/>
      <w:lvlJc w:val="left"/>
      <w:pPr>
        <w:tabs>
          <w:tab w:val="num" w:pos="3742"/>
        </w:tabs>
        <w:ind w:left="3742" w:hanging="360"/>
      </w:pPr>
    </w:lvl>
    <w:lvl w:ilvl="5" w:tplc="08090005">
      <w:start w:val="1"/>
      <w:numFmt w:val="decimal"/>
      <w:lvlText w:val="%6."/>
      <w:lvlJc w:val="left"/>
      <w:pPr>
        <w:tabs>
          <w:tab w:val="num" w:pos="4462"/>
        </w:tabs>
        <w:ind w:left="4462" w:hanging="360"/>
      </w:pPr>
    </w:lvl>
    <w:lvl w:ilvl="6" w:tplc="08090001">
      <w:start w:val="1"/>
      <w:numFmt w:val="decimal"/>
      <w:lvlText w:val="%7."/>
      <w:lvlJc w:val="left"/>
      <w:pPr>
        <w:tabs>
          <w:tab w:val="num" w:pos="5182"/>
        </w:tabs>
        <w:ind w:left="5182" w:hanging="360"/>
      </w:pPr>
    </w:lvl>
    <w:lvl w:ilvl="7" w:tplc="08090003">
      <w:start w:val="1"/>
      <w:numFmt w:val="decimal"/>
      <w:lvlText w:val="%8."/>
      <w:lvlJc w:val="left"/>
      <w:pPr>
        <w:tabs>
          <w:tab w:val="num" w:pos="5902"/>
        </w:tabs>
        <w:ind w:left="5902" w:hanging="360"/>
      </w:pPr>
    </w:lvl>
    <w:lvl w:ilvl="8" w:tplc="08090005">
      <w:start w:val="1"/>
      <w:numFmt w:val="decimal"/>
      <w:lvlText w:val="%9."/>
      <w:lvlJc w:val="left"/>
      <w:pPr>
        <w:tabs>
          <w:tab w:val="num" w:pos="6622"/>
        </w:tabs>
        <w:ind w:left="6622"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57D23"/>
    <w:multiLevelType w:val="hybridMultilevel"/>
    <w:tmpl w:val="E29E5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588">
    <w:abstractNumId w:val="16"/>
  </w:num>
  <w:num w:numId="2" w16cid:durableId="632710533">
    <w:abstractNumId w:val="12"/>
  </w:num>
  <w:num w:numId="3" w16cid:durableId="436802450">
    <w:abstractNumId w:val="15"/>
  </w:num>
  <w:num w:numId="4" w16cid:durableId="2090887798">
    <w:abstractNumId w:val="1"/>
  </w:num>
  <w:num w:numId="5" w16cid:durableId="1328243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329841">
    <w:abstractNumId w:val="7"/>
  </w:num>
  <w:num w:numId="7" w16cid:durableId="877661150">
    <w:abstractNumId w:val="8"/>
  </w:num>
  <w:num w:numId="8" w16cid:durableId="1347752743">
    <w:abstractNumId w:val="5"/>
  </w:num>
  <w:num w:numId="9" w16cid:durableId="1169449031">
    <w:abstractNumId w:val="3"/>
  </w:num>
  <w:num w:numId="10" w16cid:durableId="592470712">
    <w:abstractNumId w:val="14"/>
  </w:num>
  <w:num w:numId="11" w16cid:durableId="1162233451">
    <w:abstractNumId w:val="18"/>
  </w:num>
  <w:num w:numId="12" w16cid:durableId="598761339">
    <w:abstractNumId w:val="13"/>
  </w:num>
  <w:num w:numId="13" w16cid:durableId="1769962116">
    <w:abstractNumId w:val="2"/>
  </w:num>
  <w:num w:numId="14" w16cid:durableId="218515568">
    <w:abstractNumId w:val="6"/>
  </w:num>
  <w:num w:numId="15" w16cid:durableId="547881295">
    <w:abstractNumId w:val="11"/>
  </w:num>
  <w:num w:numId="16" w16cid:durableId="2021538308">
    <w:abstractNumId w:val="9"/>
  </w:num>
  <w:num w:numId="17" w16cid:durableId="575557497">
    <w:abstractNumId w:val="17"/>
  </w:num>
  <w:num w:numId="18" w16cid:durableId="201749259">
    <w:abstractNumId w:val="10"/>
  </w:num>
  <w:num w:numId="19" w16cid:durableId="797990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2540"/>
    <w:rsid w:val="00057F10"/>
    <w:rsid w:val="000633A2"/>
    <w:rsid w:val="00071EB4"/>
    <w:rsid w:val="00077298"/>
    <w:rsid w:val="000872CE"/>
    <w:rsid w:val="000A18D2"/>
    <w:rsid w:val="000A58A1"/>
    <w:rsid w:val="000A6659"/>
    <w:rsid w:val="000B0E6F"/>
    <w:rsid w:val="000B6DBB"/>
    <w:rsid w:val="000D2BF2"/>
    <w:rsid w:val="000D5870"/>
    <w:rsid w:val="000F65C0"/>
    <w:rsid w:val="00111CDC"/>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047"/>
    <w:rsid w:val="00400032"/>
    <w:rsid w:val="0042394B"/>
    <w:rsid w:val="00435070"/>
    <w:rsid w:val="00437F1F"/>
    <w:rsid w:val="00473B08"/>
    <w:rsid w:val="00474B5F"/>
    <w:rsid w:val="004865F0"/>
    <w:rsid w:val="004A3CE6"/>
    <w:rsid w:val="004A4A1D"/>
    <w:rsid w:val="004B2C9D"/>
    <w:rsid w:val="004B4A47"/>
    <w:rsid w:val="004E667D"/>
    <w:rsid w:val="004E6AF9"/>
    <w:rsid w:val="005031DF"/>
    <w:rsid w:val="00570F59"/>
    <w:rsid w:val="00597314"/>
    <w:rsid w:val="005A61AF"/>
    <w:rsid w:val="005C627B"/>
    <w:rsid w:val="005D0886"/>
    <w:rsid w:val="005D3081"/>
    <w:rsid w:val="005E384D"/>
    <w:rsid w:val="005F2181"/>
    <w:rsid w:val="005F724B"/>
    <w:rsid w:val="00625DFF"/>
    <w:rsid w:val="0063072B"/>
    <w:rsid w:val="00662891"/>
    <w:rsid w:val="006628B7"/>
    <w:rsid w:val="00675FCB"/>
    <w:rsid w:val="006A0B87"/>
    <w:rsid w:val="006B22FD"/>
    <w:rsid w:val="006B3942"/>
    <w:rsid w:val="006C0394"/>
    <w:rsid w:val="006C3914"/>
    <w:rsid w:val="006D3648"/>
    <w:rsid w:val="0074184E"/>
    <w:rsid w:val="007427D8"/>
    <w:rsid w:val="00743829"/>
    <w:rsid w:val="00755F8D"/>
    <w:rsid w:val="00796503"/>
    <w:rsid w:val="007D2BDA"/>
    <w:rsid w:val="007D56C8"/>
    <w:rsid w:val="007E3934"/>
    <w:rsid w:val="007E7303"/>
    <w:rsid w:val="00804B7F"/>
    <w:rsid w:val="008212A0"/>
    <w:rsid w:val="0083795A"/>
    <w:rsid w:val="00837F53"/>
    <w:rsid w:val="008B43FA"/>
    <w:rsid w:val="008D1750"/>
    <w:rsid w:val="008D7800"/>
    <w:rsid w:val="008E2910"/>
    <w:rsid w:val="008E4913"/>
    <w:rsid w:val="00900464"/>
    <w:rsid w:val="0090100E"/>
    <w:rsid w:val="0091054F"/>
    <w:rsid w:val="00912904"/>
    <w:rsid w:val="0093767E"/>
    <w:rsid w:val="00972A02"/>
    <w:rsid w:val="00993DAD"/>
    <w:rsid w:val="0099517C"/>
    <w:rsid w:val="009A0937"/>
    <w:rsid w:val="009B2ECD"/>
    <w:rsid w:val="009B7914"/>
    <w:rsid w:val="009E249E"/>
    <w:rsid w:val="009E5BAE"/>
    <w:rsid w:val="009F430B"/>
    <w:rsid w:val="00A160B2"/>
    <w:rsid w:val="00A4649F"/>
    <w:rsid w:val="00A566E7"/>
    <w:rsid w:val="00A940D3"/>
    <w:rsid w:val="00A96FCA"/>
    <w:rsid w:val="00AA4BE8"/>
    <w:rsid w:val="00AA7805"/>
    <w:rsid w:val="00AC0AAB"/>
    <w:rsid w:val="00AC7BA9"/>
    <w:rsid w:val="00B0425E"/>
    <w:rsid w:val="00B900E2"/>
    <w:rsid w:val="00B9118E"/>
    <w:rsid w:val="00BA35EA"/>
    <w:rsid w:val="00BD6115"/>
    <w:rsid w:val="00BD684A"/>
    <w:rsid w:val="00C048AC"/>
    <w:rsid w:val="00C32DAE"/>
    <w:rsid w:val="00C40E24"/>
    <w:rsid w:val="00C61B80"/>
    <w:rsid w:val="00C85A8C"/>
    <w:rsid w:val="00C87766"/>
    <w:rsid w:val="00C92D9A"/>
    <w:rsid w:val="00C96EF5"/>
    <w:rsid w:val="00D25064"/>
    <w:rsid w:val="00D32B51"/>
    <w:rsid w:val="00D34668"/>
    <w:rsid w:val="00D3740E"/>
    <w:rsid w:val="00D40335"/>
    <w:rsid w:val="00D82F57"/>
    <w:rsid w:val="00D841A5"/>
    <w:rsid w:val="00D914D2"/>
    <w:rsid w:val="00DA25DB"/>
    <w:rsid w:val="00DB0791"/>
    <w:rsid w:val="00DB2BC6"/>
    <w:rsid w:val="00DD4251"/>
    <w:rsid w:val="00E02B50"/>
    <w:rsid w:val="00E03F11"/>
    <w:rsid w:val="00E06DC8"/>
    <w:rsid w:val="00E220B5"/>
    <w:rsid w:val="00E33D93"/>
    <w:rsid w:val="00E609EF"/>
    <w:rsid w:val="00E8515B"/>
    <w:rsid w:val="00E90AFF"/>
    <w:rsid w:val="00EF2F91"/>
    <w:rsid w:val="00F100EB"/>
    <w:rsid w:val="00F33EE3"/>
    <w:rsid w:val="00F4213B"/>
    <w:rsid w:val="00F849ED"/>
    <w:rsid w:val="00F92398"/>
    <w:rsid w:val="00F95796"/>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customStyle="1" w:styleId="Heading2Char">
    <w:name w:val="Heading 2 Char"/>
    <w:basedOn w:val="DefaultParagraphFont"/>
    <w:link w:val="Heading2"/>
    <w:rsid w:val="007427D8"/>
    <w:rPr>
      <w:rFonts w:ascii="Arial Black" w:hAnsi="Arial Black" w:cs="Arial"/>
      <w:bCs/>
      <w:sz w:val="32"/>
      <w:szCs w:val="32"/>
      <w:lang w:eastAsia="en-US"/>
    </w:rPr>
  </w:style>
  <w:style w:type="table" w:styleId="TableGrid">
    <w:name w:val="Table Grid"/>
    <w:basedOn w:val="TableNormal"/>
    <w:rsid w:val="0074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5579">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3364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5</cp:revision>
  <cp:lastPrinted>2007-07-12T09:53:00Z</cp:lastPrinted>
  <dcterms:created xsi:type="dcterms:W3CDTF">2024-02-09T10:08:00Z</dcterms:created>
  <dcterms:modified xsi:type="dcterms:W3CDTF">2024-02-13T09:36:00Z</dcterms:modified>
</cp:coreProperties>
</file>